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6924A6" w:rsidRPr="004324A8" w:rsidRDefault="005C4D8D" w:rsidP="004324A8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</w:t>
      </w:r>
      <w:r w:rsidR="005E2A3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62A4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4324A8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0877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 </w:t>
      </w:r>
    </w:p>
    <w:p w:rsidR="00580877" w:rsidRPr="00580877" w:rsidRDefault="00580877" w:rsidP="0058087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Γ4α/Γ.Π.16753/23.03.2021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ΑΓΓΕΙΟΧΕΙΡΟΥΡΓΙΚΗΣ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1380B" w:rsidRDefault="0071380B" w:rsidP="0071380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E051E1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492BFB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P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43B1E" w:rsidRPr="00DC22B4" w:rsidRDefault="00343B1E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lastRenderedPageBreak/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550D55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ΑΡΓΟΛΙΔΑΣ-ΝΜ </w:t>
            </w: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371253" w:rsidRDefault="00371253" w:rsidP="003712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414FF" w:rsidRDefault="005414FF" w:rsidP="005414FF">
      <w:pPr>
        <w:pStyle w:val="a3"/>
        <w:jc w:val="both"/>
        <w:rPr>
          <w:rFonts w:cs="Calibri"/>
          <w:color w:val="404040" w:themeColor="text1" w:themeTint="BF"/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232DC8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195A8D" w:rsidRDefault="00371253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Default="00E051E1" w:rsidP="00E051E1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Default="00E051E1" w:rsidP="00E051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56FD7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B37BE8" w:rsidRPr="0038144B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77" w:rsidRDefault="00580877">
      <w:pPr>
        <w:spacing w:after="0" w:line="240" w:lineRule="auto"/>
      </w:pPr>
      <w:r>
        <w:separator/>
      </w:r>
    </w:p>
  </w:endnote>
  <w:endnote w:type="continuationSeparator" w:id="0">
    <w:p w:rsidR="00580877" w:rsidRDefault="0058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77" w:rsidRPr="00804E58" w:rsidRDefault="00580877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357B01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357B01">
      <w:rPr>
        <w:rFonts w:asciiTheme="minorHAnsi" w:eastAsiaTheme="minorEastAsia" w:hAnsiTheme="minorHAnsi" w:cstheme="minorBidi"/>
        <w:b/>
      </w:rPr>
      <w:fldChar w:fldCharType="separate"/>
    </w:r>
    <w:r w:rsidR="0071380B" w:rsidRPr="0071380B">
      <w:rPr>
        <w:rFonts w:asciiTheme="minorHAnsi" w:eastAsiaTheme="majorEastAsia" w:hAnsiTheme="minorHAnsi" w:cstheme="majorBidi"/>
        <w:b/>
        <w:noProof/>
      </w:rPr>
      <w:t>23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580877" w:rsidRPr="00804E58" w:rsidRDefault="00580877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77" w:rsidRDefault="00580877">
      <w:pPr>
        <w:spacing w:after="0" w:line="240" w:lineRule="auto"/>
      </w:pPr>
      <w:r>
        <w:separator/>
      </w:r>
    </w:p>
  </w:footnote>
  <w:footnote w:type="continuationSeparator" w:id="0">
    <w:p w:rsidR="00580877" w:rsidRDefault="0058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A6E0A"/>
    <w:rsid w:val="003C3688"/>
    <w:rsid w:val="003D05EA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60D"/>
    <w:rsid w:val="004042B6"/>
    <w:rsid w:val="00407051"/>
    <w:rsid w:val="00407CD9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C4D8D"/>
    <w:rsid w:val="005D011D"/>
    <w:rsid w:val="005D0F99"/>
    <w:rsid w:val="005D64A0"/>
    <w:rsid w:val="005D6D5B"/>
    <w:rsid w:val="005D7610"/>
    <w:rsid w:val="005E2A3C"/>
    <w:rsid w:val="005F3F4D"/>
    <w:rsid w:val="00602DF7"/>
    <w:rsid w:val="00603FD6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41381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289B"/>
    <w:rsid w:val="00946215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0902"/>
    <w:rsid w:val="00A4341D"/>
    <w:rsid w:val="00A437C8"/>
    <w:rsid w:val="00A4389A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051E1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3C05-78DC-4311-A5B5-9AFD7657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23</Pages>
  <Words>2902</Words>
  <Characters>15675</Characters>
  <Application>Microsoft Office Word</Application>
  <DocSecurity>0</DocSecurity>
  <Lines>130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50</cp:revision>
  <cp:lastPrinted>2020-09-16T05:50:00Z</cp:lastPrinted>
  <dcterms:created xsi:type="dcterms:W3CDTF">2021-01-08T08:48:00Z</dcterms:created>
  <dcterms:modified xsi:type="dcterms:W3CDTF">2021-03-26T07:14:00Z</dcterms:modified>
</cp:coreProperties>
</file>