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0C486A">
        <w:rPr>
          <w:rFonts w:ascii="Arial" w:hAnsi="Arial" w:cs="Arial"/>
          <w:sz w:val="18"/>
          <w:szCs w:val="18"/>
          <w:lang w:val="el-GR"/>
        </w:rPr>
        <w:t>ΤΕΣΣΑΡΩΝ</w:t>
      </w:r>
      <w:r w:rsidR="00FF70F9" w:rsidRPr="00BB4D31">
        <w:rPr>
          <w:rFonts w:ascii="Arial" w:hAnsi="Arial" w:cs="Arial"/>
          <w:sz w:val="18"/>
          <w:szCs w:val="18"/>
          <w:lang w:val="el-GR"/>
        </w:rPr>
        <w:t xml:space="preserve"> (</w:t>
      </w:r>
      <w:r w:rsidR="000C486A">
        <w:rPr>
          <w:rFonts w:ascii="Arial" w:hAnsi="Arial" w:cs="Arial"/>
          <w:sz w:val="18"/>
          <w:szCs w:val="18"/>
          <w:lang w:val="el-GR"/>
        </w:rPr>
        <w:t>4</w:t>
      </w:r>
      <w:r w:rsidR="005462B0" w:rsidRPr="00BB4D31">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931712" w:rsidRPr="00D647D8" w:rsidRDefault="00957146" w:rsidP="00542B94">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0C486A">
        <w:rPr>
          <w:rFonts w:ascii="Arial" w:hAnsi="Arial" w:cs="Arial"/>
          <w:sz w:val="18"/>
          <w:szCs w:val="18"/>
          <w:lang w:val="el-GR"/>
        </w:rPr>
        <w:t>τέσσερις (4</w:t>
      </w:r>
      <w:r w:rsidR="00BB4D31">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Pr="000C486A" w:rsidRDefault="004D122B" w:rsidP="000C486A">
      <w:pPr>
        <w:pStyle w:val="ListParagraph"/>
        <w:numPr>
          <w:ilvl w:val="0"/>
          <w:numId w:val="19"/>
        </w:numPr>
        <w:spacing w:before="60" w:after="0" w:line="240" w:lineRule="auto"/>
        <w:jc w:val="both"/>
        <w:rPr>
          <w:rFonts w:ascii="Arial" w:hAnsi="Arial" w:cs="Arial"/>
          <w:sz w:val="18"/>
          <w:szCs w:val="18"/>
          <w:lang w:val="el-GR"/>
        </w:rPr>
      </w:pPr>
      <w:r w:rsidRPr="000C486A">
        <w:rPr>
          <w:rFonts w:ascii="Arial" w:hAnsi="Arial" w:cs="Arial"/>
          <w:b/>
          <w:sz w:val="18"/>
          <w:szCs w:val="18"/>
          <w:lang w:val="el-GR"/>
        </w:rPr>
        <w:t xml:space="preserve">ΓΑΣΤΡΕΝΤΕΡΟΛΟΓΙΑ </w:t>
      </w:r>
      <w:r w:rsidRPr="000C486A">
        <w:rPr>
          <w:rFonts w:ascii="Arial" w:hAnsi="Arial" w:cs="Arial"/>
          <w:sz w:val="18"/>
          <w:szCs w:val="18"/>
          <w:lang w:val="el-GR"/>
        </w:rPr>
        <w:t>(1 θέση για το Γ.Ν. Λευκωσίας)</w:t>
      </w:r>
    </w:p>
    <w:p w:rsidR="00831D99" w:rsidRDefault="003B0D2E" w:rsidP="00A5285A">
      <w:pPr>
        <w:pStyle w:val="ListParagraph"/>
        <w:numPr>
          <w:ilvl w:val="0"/>
          <w:numId w:val="19"/>
        </w:numPr>
        <w:spacing w:before="60" w:after="0" w:line="240" w:lineRule="auto"/>
        <w:jc w:val="both"/>
        <w:rPr>
          <w:rFonts w:ascii="Arial" w:hAnsi="Arial" w:cs="Arial"/>
          <w:sz w:val="18"/>
          <w:szCs w:val="18"/>
          <w:lang w:val="el-GR"/>
        </w:rPr>
      </w:pPr>
      <w:r w:rsidRPr="00A5285A">
        <w:rPr>
          <w:rFonts w:ascii="Arial" w:hAnsi="Arial" w:cs="Arial"/>
          <w:b/>
          <w:sz w:val="18"/>
          <w:szCs w:val="18"/>
          <w:lang w:val="el-GR"/>
        </w:rPr>
        <w:t>ΚΑΡΔΙΟΛΟΓΙΑ</w:t>
      </w:r>
      <w:r w:rsidR="000C486A">
        <w:rPr>
          <w:rFonts w:ascii="Arial" w:hAnsi="Arial" w:cs="Arial"/>
          <w:sz w:val="18"/>
          <w:szCs w:val="18"/>
          <w:lang w:val="el-GR"/>
        </w:rPr>
        <w:t xml:space="preserve"> (2 θέσεις</w:t>
      </w:r>
      <w:r w:rsidR="00831D99" w:rsidRPr="00A5285A">
        <w:rPr>
          <w:rFonts w:ascii="Arial" w:hAnsi="Arial" w:cs="Arial"/>
          <w:sz w:val="18"/>
          <w:szCs w:val="18"/>
          <w:lang w:val="el-GR"/>
        </w:rPr>
        <w:t xml:space="preserve"> για το </w:t>
      </w:r>
      <w:r w:rsidRPr="00A5285A">
        <w:rPr>
          <w:rFonts w:ascii="Arial" w:hAnsi="Arial" w:cs="Arial"/>
          <w:sz w:val="18"/>
          <w:szCs w:val="18"/>
          <w:lang w:val="el-GR"/>
        </w:rPr>
        <w:t xml:space="preserve">Γ.Ν. </w:t>
      </w:r>
      <w:r w:rsidR="00FA7FFD" w:rsidRPr="00A5285A">
        <w:rPr>
          <w:rFonts w:ascii="Arial" w:hAnsi="Arial" w:cs="Arial"/>
          <w:sz w:val="18"/>
          <w:szCs w:val="18"/>
          <w:lang w:val="el-GR"/>
        </w:rPr>
        <w:t>Λάρνακας</w:t>
      </w:r>
      <w:r w:rsidR="00831D99" w:rsidRPr="00A5285A">
        <w:rPr>
          <w:rFonts w:ascii="Arial" w:hAnsi="Arial" w:cs="Arial"/>
          <w:sz w:val="18"/>
          <w:szCs w:val="18"/>
          <w:lang w:val="el-GR"/>
        </w:rPr>
        <w:t>)</w:t>
      </w:r>
    </w:p>
    <w:p w:rsidR="000C486A" w:rsidRPr="000C486A" w:rsidRDefault="000C486A" w:rsidP="000C486A">
      <w:pPr>
        <w:pStyle w:val="ListParagraph"/>
        <w:numPr>
          <w:ilvl w:val="0"/>
          <w:numId w:val="19"/>
        </w:numPr>
        <w:spacing w:before="60" w:after="0" w:line="240" w:lineRule="auto"/>
        <w:jc w:val="both"/>
        <w:rPr>
          <w:rFonts w:ascii="Arial" w:hAnsi="Arial" w:cs="Arial"/>
          <w:sz w:val="18"/>
          <w:szCs w:val="18"/>
          <w:lang w:val="el-GR"/>
        </w:rPr>
      </w:pPr>
      <w:r w:rsidRPr="000C486A">
        <w:rPr>
          <w:rFonts w:ascii="Arial" w:hAnsi="Arial" w:cs="Arial"/>
          <w:b/>
          <w:sz w:val="18"/>
          <w:szCs w:val="18"/>
          <w:lang w:val="el-GR"/>
        </w:rPr>
        <w:t>ΕΝΤΑΤΙΚΟΛΟΓΙΑ</w:t>
      </w:r>
      <w:r>
        <w:rPr>
          <w:rFonts w:ascii="Arial" w:hAnsi="Arial" w:cs="Arial"/>
          <w:sz w:val="18"/>
          <w:szCs w:val="18"/>
          <w:lang w:val="el-GR"/>
        </w:rPr>
        <w:t xml:space="preserve"> (1 θέση για το Γ.Ν. Λεμεσού)</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601801">
      <w:pPr>
        <w:spacing w:before="60" w:after="0" w:line="240" w:lineRule="auto"/>
        <w:ind w:left="1134"/>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601801">
      <w:pPr>
        <w:pStyle w:val="ListParagraph"/>
        <w:numPr>
          <w:ilvl w:val="0"/>
          <w:numId w:val="9"/>
        </w:numPr>
        <w:spacing w:before="60" w:after="0" w:line="240" w:lineRule="auto"/>
        <w:ind w:left="1058" w:hanging="207"/>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w:t>
      </w:r>
      <w:bookmarkStart w:id="0" w:name="_GoBack"/>
      <w:bookmarkEnd w:id="0"/>
      <w:r w:rsidRPr="005346CE">
        <w:rPr>
          <w:rFonts w:ascii="Arial" w:hAnsi="Arial" w:cs="Arial"/>
          <w:sz w:val="18"/>
          <w:szCs w:val="18"/>
          <w:lang w:val="el-GR"/>
        </w:rPr>
        <w:t>87, 1306 Λευκωσία.</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0C486A">
        <w:rPr>
          <w:rFonts w:ascii="Arial" w:hAnsi="Arial" w:cs="Arial"/>
          <w:sz w:val="18"/>
          <w:szCs w:val="18"/>
          <w:lang w:val="el-GR"/>
        </w:rPr>
        <w:t>18</w:t>
      </w:r>
      <w:r w:rsidRPr="003F5B22">
        <w:rPr>
          <w:rFonts w:ascii="Arial" w:hAnsi="Arial" w:cs="Arial"/>
          <w:sz w:val="18"/>
          <w:szCs w:val="18"/>
          <w:lang w:val="el-GR"/>
        </w:rPr>
        <w:t xml:space="preserve">η </w:t>
      </w:r>
      <w:r w:rsidR="000C486A">
        <w:rPr>
          <w:rFonts w:ascii="Arial" w:hAnsi="Arial" w:cs="Arial"/>
          <w:sz w:val="18"/>
          <w:szCs w:val="18"/>
          <w:lang w:val="el-GR"/>
        </w:rPr>
        <w:t>Δεκεμβρίου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33" w:rsidRDefault="00EB0B33" w:rsidP="002F429F">
      <w:pPr>
        <w:spacing w:after="0" w:line="240" w:lineRule="auto"/>
      </w:pPr>
      <w:r>
        <w:separator/>
      </w:r>
    </w:p>
  </w:endnote>
  <w:endnote w:type="continuationSeparator" w:id="0">
    <w:p w:rsidR="00EB0B33" w:rsidRDefault="00EB0B33"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33" w:rsidRDefault="00EB0B33" w:rsidP="002F429F">
      <w:pPr>
        <w:spacing w:after="0" w:line="240" w:lineRule="auto"/>
      </w:pPr>
      <w:r>
        <w:separator/>
      </w:r>
    </w:p>
  </w:footnote>
  <w:footnote w:type="continuationSeparator" w:id="0">
    <w:p w:rsidR="00EB0B33" w:rsidRDefault="00EB0B33"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252E98A"/>
    <w:lvl w:ilvl="0" w:tplc="FC9EFDC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7318"/>
    <w:rsid w:val="000B3037"/>
    <w:rsid w:val="000B6444"/>
    <w:rsid w:val="000C0B15"/>
    <w:rsid w:val="000C486A"/>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2B94"/>
    <w:rsid w:val="005462B0"/>
    <w:rsid w:val="00546CB2"/>
    <w:rsid w:val="0055170C"/>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1801"/>
    <w:rsid w:val="00606BFF"/>
    <w:rsid w:val="00613B1B"/>
    <w:rsid w:val="006317CC"/>
    <w:rsid w:val="00634355"/>
    <w:rsid w:val="006360F8"/>
    <w:rsid w:val="00656C3C"/>
    <w:rsid w:val="00660A8A"/>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7EAE"/>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673A"/>
    <w:rsid w:val="00CE7661"/>
    <w:rsid w:val="00CF2017"/>
    <w:rsid w:val="00CF3419"/>
    <w:rsid w:val="00CF6570"/>
    <w:rsid w:val="00D04517"/>
    <w:rsid w:val="00D1081A"/>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765C"/>
    <w:rsid w:val="00E752D1"/>
    <w:rsid w:val="00EA001F"/>
    <w:rsid w:val="00EA2D5D"/>
    <w:rsid w:val="00EB0B33"/>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36CF"/>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3</Pages>
  <Words>1599</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482</cp:revision>
  <cp:lastPrinted>2020-10-23T06:10:00Z</cp:lastPrinted>
  <dcterms:created xsi:type="dcterms:W3CDTF">2020-01-22T14:22:00Z</dcterms:created>
  <dcterms:modified xsi:type="dcterms:W3CDTF">2020-11-25T07:29:00Z</dcterms:modified>
</cp:coreProperties>
</file>